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F3864"/>
          <w:sz w:val="34"/>
          <w:szCs w:val="34"/>
        </w:rPr>
        <w:t xml:space="preserve">Multilingual Employee Handbook Checklist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The Translation Company Group LLC · thetranslationcompany.com · free to use with attribution. General information, not legal advice — confirm obligations with your employment counsel.</w:t>
      </w:r>
    </w:p>
    <w:p>
      <w:pPr>
        <w:pStyle w:val="Heading1"/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6"/>
          <w:szCs w:val="26"/>
        </w:rPr>
        <w:t xml:space="preserve">1. Compliance triggers — check what applies to you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OSHA: safety training and instructions must be delivered in a language and vocabulary employees understand (OSHA Training Standards Policy Statement, 2010). Inventory which safety content your handbook carries.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California: harassment-prevention policies must be translated into every language spoken by 10% or more of your workforce (2 CCR 11023). Check your workforce language data by location.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New York: wage notices must be provided in the employee's primary language where DOL templates exist (Wage Theft Prevention Act). Identify all states with in-language notice rules where you operate.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Acknowledgments: confirm every employee signs policy acknowledgments in a language they can read — an acknowledgment against an unreadable document is weak evidence in a dispute.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Union/works agreements, federal contractor obligations, and industry-specific rules (healthcare, construction) reviewed with counsel.</w:t>
      </w:r>
    </w:p>
    <w:p>
      <w:pPr>
        <w:pStyle w:val="Heading1"/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6"/>
          <w:szCs w:val="26"/>
        </w:rPr>
        <w:t xml:space="preserve">2. Scope the project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Word count of the current handbook (typical: 10,000-30,000 words) and list of side documents: policies, code of conduct, benefits summaries, safety procedures, acknowledgment forms.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Workforce language census by site: every language at 5-10%+ share, from HRIS or payroll data — not guesses.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Stakes tiers: which sections are legally sensitive (safety, harassment, wage terms) vs. informational — this drives workflow and cost.</w:t>
      </w:r>
    </w:p>
    <w:p>
      <w:pPr>
        <w:pStyle w:val="Heading1"/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6"/>
          <w:szCs w:val="26"/>
        </w:rPr>
        <w:t xml:space="preserve">3. Translation decisions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Language variants specified (Mexican vs. US-domestic vs. Iberian Spanish; Simplified vs. Traditional Chinese).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Format: single-language editions vs. bilingual side-by-side (side-by-side aids audits and mixed crews; single-language reads cleaner).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Glossary of company terms locked before translation: role titles, plan names, policy names, facility terms.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Two-linguist TEP workflow for legally sensitive tiers; translated acknowledgment page included with each edition.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Vendor terms: you own the translation memory; updates priced against TM reuse, not full re-translation. (See our Translation RFP Toolkit for contract language.)</w:t>
      </w:r>
    </w:p>
    <w:p>
      <w:pPr>
        <w:pStyle w:val="Heading1"/>
        <w:spacing w:after="100" w:before="220"/>
      </w:pPr>
      <w:r>
        <w:rPr>
          <w:rFonts w:ascii="Calibri" w:cs="Calibri" w:eastAsia="Calibri" w:hAnsi="Calibri"/>
          <w:b/>
          <w:bCs/>
          <w:color w:val="1F3864"/>
          <w:sz w:val="26"/>
          <w:szCs w:val="26"/>
        </w:rPr>
        <w:t xml:space="preserve">4. Rollout and maintenance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Distribute in-language editions to the matching employees; collect signed in-language acknowledgments; store with HR records.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Post safety-critical excerpts where work happens, in floor languages.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Annual update cycle: re-translate only changed sections against the TM; re-issue acknowledgments when material terms change.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New-hire packets include the correct language edition from day one.</w:t>
      </w:r>
    </w:p>
    <w:p>
      <w:pPr>
        <w:spacing w:after="60"/>
      </w:pPr>
      <w:r>
        <w:rPr>
          <w:rFonts w:ascii="Calibri" w:cs="Calibri" w:eastAsia="Calibri" w:hAnsi="Calibri"/>
          <w:sz w:val="21"/>
          <w:szCs w:val="21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Need the handbook translated? thetranslationcompany.com/services/business-translation/employee-handbook-translation.htm · sales@thetranslationcompany.com · 800.725.6498</w:t>
      </w:r>
    </w:p>
    <w:sectPr>
      <w:pgSz w:w="12240" w:h="15840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start"/>
      <w:pPr>
        <w:ind w:left="4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2026-07-21T01:35:40.926Z</dcterms:created>
  <dcterms:modified xsi:type="dcterms:W3CDTF">2026-07-21T01:35:40.928Z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